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2977AE" w14:paraId="4F9450A3" w14:textId="30E91B18">
            <w:r w:rsidRPr="002977AE">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812A22"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526339" w:rsidR="00526339" w:rsidP="00526339" w:rsidRDefault="00526339" w14:paraId="72783FA3" w14:textId="77777777">
            <w:pPr>
              <w:rPr>
                <w:lang w:val="en-US"/>
              </w:rPr>
            </w:pPr>
            <w:r w:rsidRPr="00526339">
              <w:rPr>
                <w:lang w:val="en-US"/>
              </w:rPr>
              <w:t xml:space="preserve">Law 2099 of 2021 “By which provisions are established for the energy transition, the stimulation of the energy market, the economic reactivation of the country, and other related provisions” </w:t>
            </w:r>
          </w:p>
          <w:p w:rsidRPr="00526339" w:rsidR="00526339" w:rsidP="00526339" w:rsidRDefault="00526339" w14:paraId="0A2E38BE" w14:textId="77777777">
            <w:pPr>
              <w:rPr>
                <w:lang w:val="en-US"/>
              </w:rPr>
            </w:pPr>
          </w:p>
          <w:p w:rsidRPr="00812A22" w:rsidR="00093CA9" w:rsidP="00234788" w:rsidRDefault="00526339" w14:paraId="313A697B" w14:textId="7D7DDA4E">
            <w:pPr>
              <w:rPr>
                <w:lang w:val="es-CO"/>
              </w:rPr>
            </w:pPr>
            <w:r w:rsidRPr="00812A22">
              <w:rPr>
                <w:lang w:val="es-CO"/>
              </w:rPr>
              <w:t>(Ley 2099 de 2021 “Por medio de la cual se dictan disposiciones para la transición energética, la dinamización del mercado energético, la reactivación económica del país y se dictan otras disposiciones”.</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Pr="00812A22"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Pr="00812A22" w:rsidR="00093CA9" w:rsidP="00093CA9" w:rsidRDefault="006420A5" w14:paraId="1523C232" w14:textId="2F638A14">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22886A45"/>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49221231"/>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6661AA3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Pr="00442F7F" w:rsidR="00093CA9" w:rsidP="00442F7F" w:rsidRDefault="00442F7F" w14:paraId="18257824" w14:textId="0307A76F">
            <w:pPr>
              <w:jc w:val="both"/>
              <w:rPr>
                <w:sz w:val="20"/>
                <w:szCs w:val="20"/>
              </w:rPr>
            </w:pPr>
            <w:r w:rsidRPr="00442F7F">
              <w:t xml:space="preserve">Energy Transition and Modernization of the Energy Regulatory Framework. Reinforces the country’s energy transition policy by including new technologies such as green and blue hydrogen, energy storage systems, geothermal energy, and offshore wind. The law also establishes new tax incentives and mechanisms to support investment in non-conventional renewable energy sources and creates institutional mechanisms to accelerate clean energy deployment. </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A66334" w14:paraId="54354EEF" w14:textId="7BD92E36">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73105E" w14:paraId="22A2FF1A" w14:textId="59C3894D">
            <w:pPr>
              <w:rPr>
                <w:color w:val="000000" w:themeColor="text1"/>
              </w:rPr>
            </w:pPr>
            <w:r>
              <w:rPr>
                <w:color w:val="000000" w:themeColor="text1"/>
              </w:rPr>
              <w:t>2021</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73105E" w14:paraId="5AD2325B" w14:textId="248E39E0">
            <w:pPr>
              <w:rPr>
                <w:color w:val="000000" w:themeColor="text1"/>
              </w:rPr>
            </w:pPr>
            <w:r>
              <w:rPr>
                <w:color w:val="000000" w:themeColor="text1"/>
              </w:rPr>
              <w:t>2021</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lastRenderedPageBreak/>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73105E" w14:paraId="7961F236" w14:textId="18DBB7EF">
            <w:r w:rsidRPr="0073105E">
              <w:t>Legislature (Congress of the Republic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CE1E04" w14:paraId="58D97C26" w14:textId="674F3281">
            <w:r w:rsidRPr="00CE1E04">
              <w:t>Ministry of Mines and Energy</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CE1E04" w14:paraId="6DCCE4F4" w14:textId="64517BD7">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CE1E04" w14:paraId="54F7EBC8" w14:textId="2508E669">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F4142B" w14:paraId="2C2128DB" w14:textId="4542E219">
            <w:pPr>
              <w:keepNext/>
              <w:rPr>
                <w:color w:val="000000" w:themeColor="text1"/>
              </w:rPr>
            </w:pPr>
            <w:r w:rsidRPr="00F4142B">
              <w:rPr>
                <w:color w:val="000000" w:themeColor="text1"/>
              </w:rPr>
              <w:t>The law establishes reporting and monitoring requirements for projects, including cost-benefit evaluations and reporting to the Superintendence of Public Services (SSPD) and the Ministry of Mines and Energy</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722927" w14:paraId="735EB7AB" w14:textId="6EE291B2">
            <w:r>
              <w:t>X</w:t>
            </w:r>
          </w:p>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722927" w14:paraId="2A1F0FBE" w14:textId="04FC47E3">
            <w:r>
              <w:t>X</w:t>
            </w:r>
          </w:p>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722927" w14:paraId="4EA62294" w14:textId="5D5E8A6F">
            <w:r>
              <w:t>X</w:t>
            </w:r>
          </w:p>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722927" w14:paraId="144C38EB" w14:textId="0EF19C4B">
            <w:r>
              <w:t>X</w:t>
            </w:r>
          </w:p>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722927" w14:paraId="5A1861AC" w14:textId="6605A629">
            <w:r>
              <w:t>X</w:t>
            </w:r>
          </w:p>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722927" w14:paraId="5D69C390" w14:textId="01C46697">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722927" w14:paraId="6E3BF266" w14:textId="66A04D59">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00722927" w14:paraId="4EF6CA82" w14:textId="2EC44CC4">
            <w:r>
              <w:t>X</w:t>
            </w:r>
          </w:p>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005621BC" w14:paraId="7074A6C3" w14:textId="74721D58">
            <w:r>
              <w:t>X</w:t>
            </w:r>
          </w:p>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005621BC" w14:paraId="50E60F18" w14:textId="58DC9C19">
            <w:r>
              <w:t>X</w:t>
            </w:r>
          </w:p>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5621BC" w14:paraId="1A2F5FE9" w14:textId="225D50E9">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5621BC" w14:paraId="1C618D5E" w14:textId="70F5CEB6">
            <w:r>
              <w:t>X</w:t>
            </w:r>
          </w:p>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5621BC" w14:paraId="48A33F02" w14:textId="210814AE">
            <w:r>
              <w:t>X</w:t>
            </w:r>
          </w:p>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5621BC" w14:paraId="24D34F0F" w14:textId="4E0E14BA">
            <w:r>
              <w:t>X</w:t>
            </w:r>
          </w:p>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5621BC" w14:paraId="110A8798" w14:textId="0D3E0248">
            <w:r>
              <w:t>X</w:t>
            </w:r>
          </w:p>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5621BC" w14:paraId="41BABB9B" w14:textId="264893D5">
            <w:r>
              <w:t>X</w:t>
            </w:r>
          </w:p>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5621BC" w14:paraId="1B6B3D04" w14:textId="495C1F68">
            <w:r>
              <w:t>X</w:t>
            </w:r>
          </w:p>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845E3D" w14:paraId="2DEB6862" w14:textId="2196DBF9">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845E3D" w14:paraId="713388AB" w14:textId="3381A571">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BD744B" w14:paraId="41A3133E" w14:textId="30CEC4D4">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BD744B" w14:paraId="3DE22007" w14:textId="0761B509">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BD744B" w14:paraId="63BA9E91" w14:textId="4A6AE0B4">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BD744B" w14:paraId="05FA4816" w14:textId="013B2958">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BD744B" w14:paraId="26DE33FF" w14:textId="66A30473">
            <w:pPr>
              <w:rPr>
                <w:rFonts w:ascii="Calibri" w:hAnsi="Calibri" w:cs="Calibri"/>
              </w:rPr>
            </w:pPr>
            <w:r>
              <w:rPr>
                <w:rFonts w:ascii="Calibri" w:hAnsi="Calibri" w:cs="Calibri"/>
              </w:rP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BD744B" w14:paraId="55653212" w14:textId="16EE9E60">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BD744B" w14:paraId="67E8031B" w14:textId="0B2623DB">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BD744B" w14:paraId="085035C8" w14:textId="513A43E7">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BD744B" w14:paraId="34D7141D" w14:textId="434BC95D">
            <w:pPr>
              <w:rPr>
                <w:rFonts w:ascii="Calibri" w:hAnsi="Calibri" w:cs="Calibri"/>
              </w:rPr>
            </w:pPr>
            <w:r>
              <w:rPr>
                <w:rFonts w:ascii="Calibri" w:hAnsi="Calibri" w:cs="Calibri"/>
              </w:rPr>
              <w:t>X</w:t>
            </w: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BD744B" w14:paraId="3F575FB7" w14:textId="4D78C376">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315835" w:rsidR="004F276F" w:rsidP="00C37D48" w:rsidRDefault="00315835" w14:paraId="058F7FE2" w14:textId="55F5B8E6">
            <w:pPr>
              <w:rPr>
                <w:rFonts w:ascii="Calibri" w:hAnsi="Calibri" w:cs="Calibri"/>
                <w:lang w:val="es-CO"/>
              </w:rPr>
            </w:pPr>
            <w:r>
              <w:rPr>
                <w:rFonts w:ascii="Calibri" w:hAnsi="Calibri" w:cs="Calibri"/>
                <w:lang w:val="es-CO"/>
              </w:rPr>
              <w:t>X</w:t>
            </w: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315835" w:rsidR="004F276F" w:rsidP="00C37D48" w:rsidRDefault="00315835" w14:paraId="3AF5C759" w14:textId="4EC32592">
            <w:pPr>
              <w:rPr>
                <w:rFonts w:ascii="Calibri" w:hAnsi="Calibri" w:cs="Calibri"/>
                <w:lang w:val="es-ES"/>
              </w:rPr>
            </w:pPr>
            <w:r>
              <w:rPr>
                <w:rFonts w:ascii="Calibri" w:hAnsi="Calibri" w:cs="Calibri"/>
                <w:lang w:val="es-ES"/>
              </w:rPr>
              <w:t>X</w:t>
            </w: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315835" w14:paraId="721D1CC4" w14:textId="0A5EF83C">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315835" w14:paraId="208F39AF" w14:textId="7865D555">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315835" w14:paraId="04A3F1D3" w14:textId="75B61F47">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B55667" w14:paraId="43691A25" w14:textId="323A7492">
            <w:pPr>
              <w:rPr>
                <w:rFonts w:ascii="Calibri" w:hAnsi="Calibri" w:cs="Calibri"/>
              </w:rPr>
            </w:pPr>
            <w:r>
              <w:rPr>
                <w:rFonts w:ascii="Calibri" w:hAnsi="Calibri" w:cs="Calibri"/>
              </w:rPr>
              <w:t>Applies</w:t>
            </w:r>
            <w:r w:rsidRPr="00B55667">
              <w:rPr>
                <w:rFonts w:ascii="Calibri" w:hAnsi="Calibri" w:cs="Calibri"/>
              </w:rPr>
              <w:t xml:space="preserve"> to entities operating in Colombia</w:t>
            </w: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B55667" w14:paraId="5D4204ED" w14:textId="0796E46D">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C6796B" w14:paraId="33D0DE6E" w14:textId="4D60C8E7">
            <w:pPr>
              <w:rPr>
                <w:rFonts w:ascii="Calibri" w:hAnsi="Calibri" w:cs="Calibri"/>
              </w:rPr>
            </w:pPr>
            <w:r>
              <w:rPr>
                <w:rFonts w:ascii="Calibri" w:hAnsi="Calibri" w:cs="Calibri"/>
              </w:rPr>
              <w:t>X</w:t>
            </w: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C6796B" w14:paraId="0F1657C8" w14:textId="150817F8">
            <w:pPr>
              <w:rPr>
                <w:rFonts w:ascii="Calibri" w:hAnsi="Calibri" w:cs="Calibri"/>
              </w:rPr>
            </w:pPr>
            <w:r>
              <w:rPr>
                <w:rFonts w:ascii="Calibri" w:hAnsi="Calibri" w:cs="Calibri"/>
              </w:rPr>
              <w:t>X</w:t>
            </w: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C6796B" w14:paraId="3FF23913" w14:textId="728C3498">
            <w:pPr>
              <w:rPr>
                <w:rFonts w:ascii="Calibri" w:hAnsi="Calibri" w:cs="Calibri"/>
              </w:rPr>
            </w:pPr>
            <w:r>
              <w:rPr>
                <w:rFonts w:ascii="Calibri" w:hAnsi="Calibri" w:cs="Calibri"/>
              </w:rPr>
              <w:t>X</w:t>
            </w: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C6796B" w14:paraId="0E5EBBC2" w14:textId="07CAB192">
            <w:pPr>
              <w:rPr>
                <w:rFonts w:ascii="Calibri" w:hAnsi="Calibri" w:cs="Calibri"/>
              </w:rPr>
            </w:pPr>
            <w:r>
              <w:rPr>
                <w:rFonts w:ascii="Calibri" w:hAnsi="Calibri" w:cs="Calibri"/>
              </w:rPr>
              <w:t>X</w:t>
            </w: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C6796B" w14:paraId="3C3226B7" w14:textId="060AD561">
            <w:pPr>
              <w:rPr>
                <w:rFonts w:ascii="Calibri" w:hAnsi="Calibri" w:cs="Calibri"/>
              </w:rPr>
            </w:pPr>
            <w:r>
              <w:rPr>
                <w:rFonts w:ascii="Calibri" w:hAnsi="Calibri" w:cs="Calibri"/>
              </w:rPr>
              <w:t>X</w:t>
            </w: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C6796B" w14:paraId="62A2B76C" w14:textId="68A8AB93">
            <w:pPr>
              <w:rPr>
                <w:rFonts w:ascii="Calibri" w:hAnsi="Calibri" w:cs="Calibri"/>
              </w:rPr>
            </w:pPr>
            <w:r>
              <w:rPr>
                <w:rFonts w:ascii="Calibri" w:hAnsi="Calibri" w:cs="Calibri"/>
              </w:rPr>
              <w:t>X</w:t>
            </w: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C6796B" w14:paraId="50524A8F" w14:textId="29CB0F3B">
            <w:pPr>
              <w:rPr>
                <w:rFonts w:ascii="Calibri" w:hAnsi="Calibri" w:cs="Calibri"/>
              </w:rPr>
            </w:pPr>
            <w:r>
              <w:rPr>
                <w:rFonts w:ascii="Calibri" w:hAnsi="Calibri" w:cs="Calibri"/>
              </w:rPr>
              <w:t>X</w:t>
            </w: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C6796B" w14:paraId="7A9EC3B9" w14:textId="677205E3">
            <w:pPr>
              <w:rPr>
                <w:rFonts w:ascii="Calibri" w:hAnsi="Calibri" w:cs="Calibri"/>
              </w:rPr>
            </w:pPr>
            <w:r>
              <w:rPr>
                <w:rFonts w:ascii="Calibri" w:hAnsi="Calibri" w:cs="Calibri"/>
              </w:rPr>
              <w:t xml:space="preserve">X </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C6796B" w14:paraId="650EC57F" w14:textId="08C76596">
            <w:pPr>
              <w:rPr>
                <w:rFonts w:ascii="Calibri" w:hAnsi="Calibri" w:cs="Calibri"/>
              </w:rPr>
            </w:pPr>
            <w:r>
              <w:rPr>
                <w:rFonts w:ascii="Calibri" w:hAnsi="Calibri" w:cs="Calibri"/>
              </w:rPr>
              <w:t xml:space="preserve">X </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8957FF" w14:paraId="2D632371" w14:textId="2B956EC9">
            <w:pPr>
              <w:rPr>
                <w:rFonts w:ascii="Calibri" w:hAnsi="Calibri" w:cs="Calibri"/>
              </w:rPr>
            </w:pPr>
            <w:r>
              <w:rPr>
                <w:rFonts w:ascii="Calibri" w:hAnsi="Calibri" w:cs="Calibri"/>
              </w:rPr>
              <w:t>X</w:t>
            </w: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8957FF" w14:paraId="347A3679" w14:textId="1EC7DD8D">
            <w:pPr>
              <w:rPr>
                <w:rFonts w:ascii="Calibri" w:hAnsi="Calibri" w:cs="Calibri"/>
              </w:rPr>
            </w:pPr>
            <w:r>
              <w:rPr>
                <w:rFonts w:ascii="Calibri" w:hAnsi="Calibri" w:cs="Calibri"/>
              </w:rP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DE7F3B" w14:paraId="5B340908" w14:textId="546052BB">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DE7F3B" w14:paraId="0322FE29" w14:textId="4E3319F5">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DE7F3B" w14:paraId="41A659E6" w14:textId="1977B79B">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DE7F3B" w14:paraId="1F1FF9DF" w14:textId="20CB627E">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DE7F3B" w14:paraId="04582DFC" w14:textId="358E438E">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DE7F3B" w14:paraId="7E653E8C" w14:textId="2DC278E0">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DE7F3B" w14:paraId="0E60101F" w14:textId="18A3FE7F">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DE7F3B" w14:paraId="7CB53F7B" w14:textId="66670ECC">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DE7F3B" w14:paraId="48666C62" w14:textId="1AAF9EF3">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DE7F3B" w14:paraId="3CB19ED3" w14:textId="74C6DBD0">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DE7F3B" w14:paraId="33DBBD59" w14:textId="0BEBBEE4">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DE7F3B" w14:paraId="3475209D" w14:textId="6E06DBE9">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DE7F3B" w14:paraId="6EE4F476" w14:textId="182F647F">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DE7F3B" w14:paraId="7D580ABD" w14:textId="6D2F1082">
            <w:pPr>
              <w:rPr>
                <w:rFonts w:ascii="Calibri" w:hAnsi="Calibri" w:cs="Calibri"/>
              </w:rPr>
            </w:pPr>
            <w:r>
              <w:rPr>
                <w:rFonts w:ascii="Calibri" w:hAnsi="Calibri" w:cs="Calibri"/>
              </w:rPr>
              <w:t>X</w:t>
            </w: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9607E0" w14:paraId="4B0C8A54" w14:textId="5A2AB59D">
            <w:pPr>
              <w:rPr>
                <w:rFonts w:ascii="Calibri" w:hAnsi="Calibri" w:cs="Calibri"/>
              </w:rPr>
            </w:pPr>
            <w:r>
              <w:rPr>
                <w:rFonts w:ascii="Calibri" w:hAnsi="Calibri" w:cs="Calibri"/>
              </w:rPr>
              <w:t>X</w:t>
            </w: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9607E0" w14:paraId="37D60944" w14:textId="33861CB5">
            <w:pPr>
              <w:rPr>
                <w:rFonts w:ascii="Calibri" w:hAnsi="Calibri" w:cs="Calibri"/>
              </w:rPr>
            </w:pPr>
            <w:r>
              <w:rPr>
                <w:rFonts w:ascii="Calibri" w:hAnsi="Calibri" w:cs="Calibri"/>
              </w:rPr>
              <w:t>X</w:t>
            </w: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9607E0" w14:paraId="7841FFD5" w14:textId="3B0808F9">
            <w:pPr>
              <w:rPr>
                <w:rFonts w:ascii="Calibri" w:hAnsi="Calibri" w:cs="Calibri"/>
              </w:rPr>
            </w:pPr>
            <w:r>
              <w:rPr>
                <w:rFonts w:ascii="Calibri" w:hAnsi="Calibri" w:cs="Calibri"/>
              </w:rPr>
              <w:t>X</w:t>
            </w: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9607E0" w14:paraId="7668F90C" w14:textId="3E4CFB4B">
            <w:pPr>
              <w:rPr>
                <w:rFonts w:ascii="Calibri" w:hAnsi="Calibri" w:cs="Calibri"/>
              </w:rPr>
            </w:pPr>
            <w:r>
              <w:rPr>
                <w:rFonts w:ascii="Calibri" w:hAnsi="Calibri" w:cs="Calibri"/>
              </w:rPr>
              <w:t>X</w:t>
            </w: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9607E0" w14:paraId="4FDBB98C" w14:textId="2A5146FC">
            <w:pPr>
              <w:rPr>
                <w:rFonts w:ascii="Calibri" w:hAnsi="Calibri" w:cs="Calibri"/>
              </w:rPr>
            </w:pPr>
            <w:r>
              <w:rPr>
                <w:rFonts w:ascii="Calibri" w:hAnsi="Calibri" w:cs="Calibri"/>
              </w:rPr>
              <w:t>X</w:t>
            </w: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3FA6" w14:paraId="61BE3C33" w14:textId="7A4A0763">
            <w:pPr>
              <w:rPr>
                <w:rFonts w:ascii="Calibri" w:hAnsi="Calibri" w:cs="Calibri"/>
              </w:rPr>
            </w:pPr>
            <w:r>
              <w:rPr>
                <w:rFonts w:ascii="Calibri" w:hAnsi="Calibri" w:cs="Calibri"/>
              </w:rPr>
              <w:t>X</w:t>
            </w: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AE295F" w14:paraId="11E30939" w14:textId="63EE20AE">
            <w:pPr>
              <w:rPr>
                <w:rFonts w:ascii="Calibri" w:hAnsi="Calibri" w:cs="Calibri"/>
              </w:rPr>
            </w:pPr>
            <w:r>
              <w:rPr>
                <w:rFonts w:ascii="Calibri" w:hAnsi="Calibri" w:cs="Calibri"/>
              </w:rPr>
              <w:t>X</w:t>
            </w: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656B6427">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41689E5C">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AD7B58" w14:paraId="512FE71D" w14:textId="28936477">
            <w:pPr>
              <w:rPr>
                <w:rFonts w:ascii="Calibri" w:hAnsi="Calibri" w:cs="Calibri"/>
              </w:rPr>
            </w:pPr>
            <w:r>
              <w:rPr>
                <w:rFonts w:ascii="Calibri" w:hAnsi="Calibri" w:cs="Calibri"/>
              </w:rPr>
              <w:t>X</w:t>
            </w: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AD7B58" w14:paraId="051EE206" w14:textId="3981E5FF">
            <w:pPr>
              <w:rPr>
                <w:rFonts w:ascii="Calibri" w:hAnsi="Calibri" w:cs="Calibri"/>
              </w:rPr>
            </w:pPr>
            <w:r>
              <w:rPr>
                <w:rFonts w:ascii="Calibri" w:hAnsi="Calibri" w:cs="Calibri"/>
              </w:rPr>
              <w:t>X</w:t>
            </w: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595E0B" w14:paraId="44499F13" w14:textId="1E019405">
            <w:pPr>
              <w:rPr>
                <w:rFonts w:ascii="Calibri" w:hAnsi="Calibri" w:cs="Calibri"/>
              </w:rPr>
            </w:pPr>
            <w:r>
              <w:rPr>
                <w:rFonts w:ascii="Calibri" w:hAnsi="Calibri" w:cs="Calibri"/>
              </w:rPr>
              <w:t>X</w:t>
            </w: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595E0B" w14:paraId="17CC309C" w14:textId="3D98363E">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595E0B" w14:paraId="7905F50E" w14:textId="1365CBBB">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595E0B" w14:paraId="5EC08EF7" w14:textId="43458B4B">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595E0B" w14:paraId="3CB3E883" w14:textId="5DFD853A">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595E0B" w14:paraId="0D3C4C94" w14:textId="61ECD8C3">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595E0B" w14:paraId="158F4155" w14:textId="564490BF">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930524" w14:paraId="50B01C20" w14:textId="6FB01937">
            <w:pPr>
              <w:rPr>
                <w:rFonts w:ascii="Calibri" w:hAnsi="Calibri" w:cs="Calibri"/>
              </w:rPr>
            </w:pPr>
            <w:r>
              <w:rPr>
                <w:rFonts w:ascii="Calibri" w:hAnsi="Calibri" w:cs="Calibri"/>
              </w:rPr>
              <w:t>X</w:t>
            </w: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5B6FEBA6">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AA65F6" w14:paraId="4C59AFA5" w14:textId="622D8D57">
            <w:pPr>
              <w:rPr>
                <w:rFonts w:ascii="Calibri" w:hAnsi="Calibri" w:cs="Calibri"/>
              </w:rPr>
            </w:pPr>
            <w:r>
              <w:rPr>
                <w:rFonts w:ascii="Calibri" w:hAnsi="Calibri" w:cs="Calibri"/>
              </w:rPr>
              <w:t>X</w:t>
            </w: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6376DDF3">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1F44BB" w14:paraId="5B9B20AC" w14:textId="15E7C36F">
            <w:pPr>
              <w:rPr>
                <w:rFonts w:ascii="Calibri" w:hAnsi="Calibri" w:cs="Calibri"/>
              </w:rPr>
            </w:pPr>
            <w:r>
              <w:rPr>
                <w:rFonts w:ascii="Calibri" w:hAnsi="Calibri" w:cs="Calibri"/>
              </w:rPr>
              <w:t>X</w:t>
            </w: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1F44BB" w14:paraId="747BF7EB" w14:textId="77414347">
            <w:pPr>
              <w:rPr>
                <w:rFonts w:ascii="Calibri" w:hAnsi="Calibri" w:cs="Calibri"/>
              </w:rPr>
            </w:pPr>
            <w:r>
              <w:rPr>
                <w:rFonts w:ascii="Calibri" w:hAnsi="Calibri" w:cs="Calibri"/>
              </w:rPr>
              <w:t>X</w:t>
            </w: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1F44BB" w14:paraId="755AD29D" w14:textId="1DBEDF59">
            <w:pPr>
              <w:rPr>
                <w:rFonts w:ascii="Calibri" w:hAnsi="Calibri" w:cs="Calibri"/>
              </w:rPr>
            </w:pPr>
            <w:r>
              <w:rPr>
                <w:rFonts w:ascii="Calibri" w:hAnsi="Calibri" w:cs="Calibri"/>
              </w:rPr>
              <w:t>X</w:t>
            </w: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1F44BB" w14:paraId="03C3D83D" w14:textId="3E8B2A2E">
            <w:pPr>
              <w:rPr>
                <w:rFonts w:ascii="Calibri" w:hAnsi="Calibri" w:cs="Calibri"/>
              </w:rPr>
            </w:pPr>
            <w:r>
              <w:rPr>
                <w:rFonts w:ascii="Calibri" w:hAnsi="Calibri" w:cs="Calibri"/>
              </w:rPr>
              <w:t>X</w:t>
            </w: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1F44BB" w14:paraId="53DD0DC9" w14:textId="005E0335">
            <w:pPr>
              <w:rPr>
                <w:rFonts w:ascii="Calibri" w:hAnsi="Calibri" w:cs="Calibri"/>
              </w:rPr>
            </w:pPr>
            <w:r>
              <w:rPr>
                <w:rFonts w:ascii="Calibri" w:hAnsi="Calibri" w:cs="Calibri"/>
              </w:rPr>
              <w:t>X</w:t>
            </w: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1F44BB" w14:paraId="5C684043" w14:textId="31ADB536">
            <w:pPr>
              <w:rPr>
                <w:rFonts w:ascii="Calibri" w:hAnsi="Calibri" w:cs="Calibri"/>
              </w:rPr>
            </w:pPr>
            <w:r>
              <w:rPr>
                <w:rFonts w:ascii="Calibri" w:hAnsi="Calibri" w:cs="Calibri"/>
              </w:rPr>
              <w:t>X</w:t>
            </w: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66BEC903">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B95A3EE">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CF163D" w14:paraId="3A72362E" w14:textId="66504D77">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CF163D" w14:paraId="2B786705" w14:textId="31B8AAFE">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CF163D" w14:paraId="29A8D135" w14:textId="1484A72C">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CF163D" w14:paraId="6718E906" w14:textId="400DEEBE">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CF163D" w14:paraId="0AA2B51C" w14:textId="718CCBDB">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CF163D" w14:paraId="52C7845D" w14:textId="417592C9">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CF163D" w14:paraId="7DEB21F8" w14:textId="568CF72B">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CF163D" w14:paraId="3A5A03AA" w14:textId="78F317C4">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CF163D" w14:paraId="2E51DA2D" w14:textId="20E3B0AB">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CF163D" w14:paraId="6A55D07D" w14:textId="59FD4A57">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CF163D" w14:paraId="292FE0E0" w14:textId="6519CA9D">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47DB0" w:rsidP="00874E39" w:rsidRDefault="00447DB0" w14:paraId="4569AF92" w14:textId="77777777">
      <w:r>
        <w:separator/>
      </w:r>
    </w:p>
  </w:endnote>
  <w:endnote w:type="continuationSeparator" w:id="0">
    <w:p w:rsidR="00447DB0" w:rsidP="00874E39" w:rsidRDefault="00447DB0" w14:paraId="34EEC9E9" w14:textId="77777777">
      <w:r>
        <w:continuationSeparator/>
      </w:r>
    </w:p>
  </w:endnote>
  <w:endnote w:type="continuationNotice" w:id="1">
    <w:p w:rsidR="00447DB0" w:rsidRDefault="00447DB0" w14:paraId="64B4743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47DB0" w:rsidP="00874E39" w:rsidRDefault="00447DB0" w14:paraId="0F3A3DDB" w14:textId="77777777">
      <w:r>
        <w:separator/>
      </w:r>
    </w:p>
  </w:footnote>
  <w:footnote w:type="continuationSeparator" w:id="0">
    <w:p w:rsidR="00447DB0" w:rsidP="00874E39" w:rsidRDefault="00447DB0" w14:paraId="321B6C53" w14:textId="77777777">
      <w:r>
        <w:continuationSeparator/>
      </w:r>
    </w:p>
  </w:footnote>
  <w:footnote w:type="continuationNotice" w:id="1">
    <w:p w:rsidR="00447DB0" w:rsidRDefault="00447DB0" w14:paraId="5B4617E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3FA6"/>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4BB"/>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7A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5835"/>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F7F"/>
    <w:rsid w:val="00444D51"/>
    <w:rsid w:val="004474C7"/>
    <w:rsid w:val="00447DB0"/>
    <w:rsid w:val="00450AD7"/>
    <w:rsid w:val="00450C15"/>
    <w:rsid w:val="004514AB"/>
    <w:rsid w:val="00452F13"/>
    <w:rsid w:val="004557A1"/>
    <w:rsid w:val="00455E1B"/>
    <w:rsid w:val="00460A6D"/>
    <w:rsid w:val="00461552"/>
    <w:rsid w:val="00462D7F"/>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1B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E0B"/>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0A5"/>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927"/>
    <w:rsid w:val="007245FC"/>
    <w:rsid w:val="007250B7"/>
    <w:rsid w:val="007274CB"/>
    <w:rsid w:val="0072785A"/>
    <w:rsid w:val="00730E27"/>
    <w:rsid w:val="0073105E"/>
    <w:rsid w:val="007312A3"/>
    <w:rsid w:val="00732D3A"/>
    <w:rsid w:val="007335CD"/>
    <w:rsid w:val="00733903"/>
    <w:rsid w:val="00733D39"/>
    <w:rsid w:val="0073501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A22"/>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E3D"/>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7FF"/>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524"/>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7E0"/>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334"/>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5F6"/>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B58"/>
    <w:rsid w:val="00AE0028"/>
    <w:rsid w:val="00AE00FE"/>
    <w:rsid w:val="00AE0451"/>
    <w:rsid w:val="00AE0803"/>
    <w:rsid w:val="00AE0ADB"/>
    <w:rsid w:val="00AE2662"/>
    <w:rsid w:val="00AE295F"/>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298"/>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667"/>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C8E"/>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44B"/>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796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E04"/>
    <w:rsid w:val="00CE2140"/>
    <w:rsid w:val="00CE46AE"/>
    <w:rsid w:val="00CE6394"/>
    <w:rsid w:val="00CF01F9"/>
    <w:rsid w:val="00CF0A09"/>
    <w:rsid w:val="00CF12B7"/>
    <w:rsid w:val="00CF163D"/>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E7F3B"/>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42B"/>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uncionpublica.gov.co/eva/gestornormativo/norma.php?i=166326"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BC2C80C-3CD2-470E-BF31-FE021E6C2E3E}"/>
</file>

<file path=customXml/itemProps2.xml><?xml version="1.0" encoding="utf-8"?>
<ds:datastoreItem xmlns:ds="http://schemas.openxmlformats.org/officeDocument/2006/customXml" ds:itemID="{BD7D2414-E4AE-46B2-AA6D-86B51C92463D}"/>
</file>

<file path=customXml/itemProps3.xml><?xml version="1.0" encoding="utf-8"?>
<ds:datastoreItem xmlns:ds="http://schemas.openxmlformats.org/officeDocument/2006/customXml" ds:itemID="{35C90805-C75A-4C48-90CE-D2BA6E08D8B8}"/>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